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EECE1" w:themeColor="background2"/>
  <w:body>
    <w:tbl>
      <w:tblPr>
        <w:tblStyle w:val="GrelhaMdia1-Cor1"/>
        <w:tblW w:w="14142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426"/>
        <w:gridCol w:w="1559"/>
        <w:gridCol w:w="2143"/>
        <w:gridCol w:w="1259"/>
        <w:gridCol w:w="1276"/>
        <w:gridCol w:w="850"/>
        <w:gridCol w:w="1559"/>
        <w:gridCol w:w="2127"/>
      </w:tblGrid>
      <w:tr w:rsidR="00B17FEF" w:rsidRPr="00EA6923" w:rsidTr="00337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10"/>
            <w:shd w:val="clear" w:color="auto" w:fill="365F91" w:themeFill="accent1" w:themeFillShade="BF"/>
          </w:tcPr>
          <w:p w:rsidR="00B17FEF" w:rsidRPr="00FF7DF4" w:rsidRDefault="00B17FEF" w:rsidP="00B17FEF">
            <w:pPr>
              <w:jc w:val="center"/>
              <w:rPr>
                <w:rFonts w:cs="Segoe UI"/>
                <w:color w:val="FFFFFF" w:themeColor="background1"/>
                <w:sz w:val="20"/>
                <w:szCs w:val="20"/>
              </w:rPr>
            </w:pPr>
            <w:r w:rsidRPr="00FF7DF4">
              <w:rPr>
                <w:rFonts w:cs="Segoe UI"/>
                <w:color w:val="FFFFFF" w:themeColor="background1"/>
                <w:sz w:val="20"/>
                <w:szCs w:val="20"/>
              </w:rPr>
              <w:t>LICENÇAS SEM REMUNERAÇÃO</w:t>
            </w:r>
          </w:p>
          <w:p w:rsidR="00E00970" w:rsidRDefault="00E00970" w:rsidP="002E4721">
            <w:pPr>
              <w:jc w:val="center"/>
              <w:rPr>
                <w:rFonts w:cs="Segoe UI"/>
                <w:color w:val="FFFFFF" w:themeColor="background1"/>
                <w:sz w:val="20"/>
                <w:szCs w:val="20"/>
              </w:rPr>
            </w:pPr>
          </w:p>
          <w:p w:rsidR="00B17FEF" w:rsidRDefault="00B17FEF" w:rsidP="002E4721">
            <w:pPr>
              <w:jc w:val="center"/>
              <w:rPr>
                <w:rFonts w:cs="Segoe UI"/>
                <w:color w:val="FFFFFF" w:themeColor="background1"/>
                <w:sz w:val="20"/>
                <w:szCs w:val="20"/>
              </w:rPr>
            </w:pPr>
            <w:r w:rsidRPr="00FF7DF4">
              <w:rPr>
                <w:rFonts w:cs="Segoe UI"/>
                <w:color w:val="FFFFFF" w:themeColor="background1"/>
                <w:sz w:val="20"/>
                <w:szCs w:val="20"/>
              </w:rPr>
              <w:t>Lei Geral do Trabalho em Funções Públicas, aprovada pela Lei nº 35/2014, de 20 de junho</w:t>
            </w:r>
            <w:r w:rsidR="002E4721">
              <w:rPr>
                <w:rFonts w:cs="Segoe UI"/>
                <w:color w:val="FFFFFF" w:themeColor="background1"/>
                <w:sz w:val="20"/>
                <w:szCs w:val="20"/>
              </w:rPr>
              <w:t xml:space="preserve"> (art.º 280º a 283º)</w:t>
            </w:r>
          </w:p>
          <w:p w:rsidR="00E00970" w:rsidRPr="002E4721" w:rsidRDefault="00E00970" w:rsidP="002E4721">
            <w:pPr>
              <w:jc w:val="center"/>
              <w:rPr>
                <w:rFonts w:cs="Segoe UI"/>
                <w:color w:val="FFFFFF" w:themeColor="background1"/>
                <w:sz w:val="20"/>
                <w:szCs w:val="20"/>
              </w:rPr>
            </w:pPr>
          </w:p>
        </w:tc>
      </w:tr>
      <w:tr w:rsidR="00337A8B" w:rsidRPr="00EA6923" w:rsidTr="00E009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gridSpan w:val="2"/>
            <w:shd w:val="clear" w:color="auto" w:fill="DDD9C3" w:themeFill="background2" w:themeFillShade="E6"/>
          </w:tcPr>
          <w:p w:rsidR="00337A8B" w:rsidRPr="00FF7DF4" w:rsidRDefault="00337A8B" w:rsidP="00337A8B">
            <w:pPr>
              <w:jc w:val="center"/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</w:pPr>
          </w:p>
          <w:p w:rsidR="00337A8B" w:rsidRPr="00FF7DF4" w:rsidRDefault="00337A8B" w:rsidP="00337A8B">
            <w:pPr>
              <w:jc w:val="center"/>
              <w:rPr>
                <w:rFonts w:cs="Segoe UI"/>
                <w:color w:val="365F91" w:themeColor="accent1" w:themeShade="BF"/>
                <w:sz w:val="18"/>
                <w:szCs w:val="18"/>
              </w:rPr>
            </w:pPr>
            <w:r w:rsidRPr="00FF7DF4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>Licenças sem remuneração</w:t>
            </w: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 xml:space="preserve"> não tipificadas</w:t>
            </w:r>
          </w:p>
          <w:p w:rsidR="00337A8B" w:rsidRPr="00FF7DF4" w:rsidRDefault="00337A8B" w:rsidP="00B17FEF">
            <w:pPr>
              <w:jc w:val="center"/>
              <w:rPr>
                <w:rFonts w:cs="Segoe UI"/>
                <w:b w:val="0"/>
                <w:bCs w:val="0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63" w:type="dxa"/>
            <w:gridSpan w:val="5"/>
            <w:vMerge w:val="restart"/>
            <w:shd w:val="clear" w:color="auto" w:fill="DDD9C3" w:themeFill="background2" w:themeFillShade="E6"/>
            <w:vAlign w:val="center"/>
          </w:tcPr>
          <w:p w:rsidR="00337A8B" w:rsidRPr="00FF7DF4" w:rsidRDefault="00337A8B" w:rsidP="00E73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8"/>
                <w:szCs w:val="18"/>
              </w:rPr>
            </w:pP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>Licenças sem remuneração</w:t>
            </w:r>
            <w:r w:rsidRPr="00FF7DF4">
              <w:rPr>
                <w:rFonts w:cs="Segoe UI"/>
                <w:b/>
                <w:color w:val="365F91" w:themeColor="accent1" w:themeShade="BF"/>
                <w:sz w:val="18"/>
                <w:szCs w:val="18"/>
              </w:rPr>
              <w:t xml:space="preserve"> para frequência de cursos de formação</w:t>
            </w: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 xml:space="preserve"> (superiores a 60 dias)</w:t>
            </w:r>
          </w:p>
        </w:tc>
        <w:tc>
          <w:tcPr>
            <w:tcW w:w="2409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:rsidR="00337A8B" w:rsidRPr="00FF7DF4" w:rsidRDefault="00337A8B" w:rsidP="00337A8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  <w:color w:val="FFFFFF" w:themeColor="background1"/>
                <w:sz w:val="18"/>
                <w:szCs w:val="18"/>
              </w:rPr>
            </w:pP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 xml:space="preserve">Licenças sem remuneração </w:t>
            </w:r>
            <w:r w:rsidRPr="00FF7DF4">
              <w:rPr>
                <w:rFonts w:cs="Segoe UI"/>
                <w:b/>
                <w:color w:val="365F91" w:themeColor="accent1" w:themeShade="BF"/>
                <w:sz w:val="18"/>
                <w:szCs w:val="18"/>
              </w:rPr>
              <w:t>para acompanhamento do cônjuge colocado no estrangeiro</w:t>
            </w:r>
          </w:p>
        </w:tc>
        <w:tc>
          <w:tcPr>
            <w:tcW w:w="2127" w:type="dxa"/>
            <w:vMerge w:val="restart"/>
            <w:shd w:val="clear" w:color="auto" w:fill="DDD9C3" w:themeFill="background2" w:themeFillShade="E6"/>
            <w:vAlign w:val="center"/>
          </w:tcPr>
          <w:p w:rsidR="00337A8B" w:rsidRPr="00FF7DF4" w:rsidRDefault="00337A8B" w:rsidP="00337A8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FFFFFF" w:themeColor="background1"/>
                <w:sz w:val="18"/>
                <w:szCs w:val="18"/>
              </w:rPr>
            </w:pP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 xml:space="preserve">Licenças sem remuneração </w:t>
            </w:r>
            <w:r w:rsidRPr="00FF7DF4">
              <w:rPr>
                <w:rFonts w:cs="Segoe UI"/>
                <w:b/>
                <w:color w:val="365F91" w:themeColor="accent1" w:themeShade="BF"/>
                <w:sz w:val="18"/>
                <w:szCs w:val="18"/>
              </w:rPr>
              <w:t>para o exercício de funções em organismos internacionais</w:t>
            </w:r>
          </w:p>
        </w:tc>
      </w:tr>
      <w:tr w:rsidR="00337A8B" w:rsidRPr="00EA6923" w:rsidTr="00920C07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 w:val="restart"/>
            <w:shd w:val="clear" w:color="auto" w:fill="FFFFFF" w:themeFill="background1"/>
            <w:vAlign w:val="center"/>
          </w:tcPr>
          <w:p w:rsidR="00337A8B" w:rsidRPr="00FF7DF4" w:rsidRDefault="00337A8B" w:rsidP="00337A8B">
            <w:pPr>
              <w:jc w:val="center"/>
              <w:rPr>
                <w:rFonts w:cs="Segoe UI"/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FF7DF4">
              <w:rPr>
                <w:rFonts w:cs="Segoe UI"/>
                <w:color w:val="365F91" w:themeColor="accent1" w:themeShade="BF"/>
                <w:sz w:val="18"/>
                <w:szCs w:val="18"/>
              </w:rPr>
              <w:t>No interesse do trabalhador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337A8B" w:rsidRPr="00FF7DF4" w:rsidRDefault="00337A8B" w:rsidP="00337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  <w:b/>
                <w:bCs/>
                <w:color w:val="FFFFFF" w:themeColor="background1"/>
                <w:sz w:val="18"/>
                <w:szCs w:val="18"/>
              </w:rPr>
            </w:pPr>
            <w:r w:rsidRPr="00FF7DF4">
              <w:rPr>
                <w:rFonts w:cs="Segoe UI"/>
                <w:b/>
                <w:color w:val="365F91" w:themeColor="accent1" w:themeShade="BF"/>
                <w:sz w:val="18"/>
                <w:szCs w:val="18"/>
              </w:rPr>
              <w:t>De interesse público</w:t>
            </w:r>
          </w:p>
        </w:tc>
        <w:tc>
          <w:tcPr>
            <w:tcW w:w="6663" w:type="dxa"/>
            <w:gridSpan w:val="5"/>
            <w:vMerge/>
            <w:shd w:val="clear" w:color="auto" w:fill="DBE5F1" w:themeFill="accent1" w:themeFillTint="33"/>
          </w:tcPr>
          <w:p w:rsidR="00337A8B" w:rsidRPr="00342037" w:rsidRDefault="00337A8B" w:rsidP="00B17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  <w:b/>
                <w:bCs/>
                <w:color w:val="FFFFFF" w:themeColor="background1"/>
              </w:rPr>
            </w:pPr>
          </w:p>
        </w:tc>
        <w:tc>
          <w:tcPr>
            <w:tcW w:w="2409" w:type="dxa"/>
            <w:gridSpan w:val="2"/>
            <w:vMerge/>
            <w:shd w:val="clear" w:color="auto" w:fill="DBE5F1" w:themeFill="accent1" w:themeFillTint="33"/>
          </w:tcPr>
          <w:p w:rsidR="00337A8B" w:rsidRPr="00342037" w:rsidRDefault="00337A8B" w:rsidP="00B17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  <w:b/>
                <w:bCs/>
                <w:color w:val="FFFFFF" w:themeColor="background1"/>
              </w:rPr>
            </w:pPr>
          </w:p>
        </w:tc>
        <w:tc>
          <w:tcPr>
            <w:tcW w:w="2127" w:type="dxa"/>
            <w:vMerge/>
            <w:shd w:val="clear" w:color="auto" w:fill="DBE5F1" w:themeFill="accent1" w:themeFillTint="33"/>
          </w:tcPr>
          <w:p w:rsidR="00337A8B" w:rsidRPr="00342037" w:rsidRDefault="00337A8B" w:rsidP="00B17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  <w:color w:val="FFFFFF" w:themeColor="background1"/>
              </w:rPr>
            </w:pPr>
          </w:p>
        </w:tc>
      </w:tr>
      <w:tr w:rsidR="00337A8B" w:rsidRPr="00EA6923" w:rsidTr="002E4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/>
            <w:tcBorders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337A8B" w:rsidRPr="00EA6923" w:rsidRDefault="00337A8B" w:rsidP="00B17FEF">
            <w:pPr>
              <w:jc w:val="center"/>
              <w:rPr>
                <w:rFonts w:ascii="Arial Narrow" w:hAnsi="Arial Narrow" w:cs="Segoe UI"/>
                <w:b w:val="0"/>
                <w:bCs w:val="0"/>
                <w:color w:val="FFFFFF" w:themeColor="background1"/>
              </w:rPr>
            </w:pPr>
          </w:p>
        </w:tc>
        <w:tc>
          <w:tcPr>
            <w:tcW w:w="1417" w:type="dxa"/>
            <w:vMerge/>
            <w:tcBorders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337A8B" w:rsidRPr="00EA6923" w:rsidRDefault="00337A8B" w:rsidP="00B17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Segoe UI"/>
                <w:b/>
                <w:bCs/>
                <w:color w:val="FFFFFF" w:themeColor="background1"/>
              </w:rPr>
            </w:pPr>
          </w:p>
        </w:tc>
        <w:tc>
          <w:tcPr>
            <w:tcW w:w="6663" w:type="dxa"/>
            <w:gridSpan w:val="5"/>
            <w:tcBorders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337A8B" w:rsidRPr="00FF7DF4" w:rsidRDefault="00337A8B" w:rsidP="00337A8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 xml:space="preserve">As licenças para frequência de cursos de formação, </w:t>
            </w:r>
            <w:r w:rsidRPr="00FF7DF4">
              <w:rPr>
                <w:rFonts w:cs="Segoe UI"/>
                <w:b/>
                <w:color w:val="365F91" w:themeColor="accent1" w:themeShade="BF"/>
                <w:sz w:val="16"/>
                <w:szCs w:val="16"/>
              </w:rPr>
              <w:t>podem ser</w:t>
            </w: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 xml:space="preserve"> </w:t>
            </w:r>
            <w:r w:rsidRPr="00FF7DF4">
              <w:rPr>
                <w:rFonts w:cs="Segoe UI"/>
                <w:b/>
                <w:color w:val="365F91" w:themeColor="accent1" w:themeShade="BF"/>
                <w:sz w:val="16"/>
                <w:szCs w:val="16"/>
              </w:rPr>
              <w:t>recusadas</w:t>
            </w: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 xml:space="preserve"> pela entidade empregadora </w:t>
            </w:r>
            <w:proofErr w:type="gramStart"/>
            <w:r w:rsidRPr="00FF7DF4">
              <w:rPr>
                <w:rFonts w:cs="Segoe UI"/>
                <w:b/>
                <w:color w:val="365F91" w:themeColor="accent1" w:themeShade="BF"/>
                <w:sz w:val="16"/>
                <w:szCs w:val="16"/>
              </w:rPr>
              <w:t>se</w:t>
            </w:r>
            <w:proofErr w:type="gramEnd"/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:</w:t>
            </w:r>
          </w:p>
          <w:p w:rsidR="00337A8B" w:rsidRPr="00FF7DF4" w:rsidRDefault="00337A8B" w:rsidP="00337A8B">
            <w:pPr>
              <w:pStyle w:val="PargrafodaLista"/>
              <w:numPr>
                <w:ilvl w:val="0"/>
                <w:numId w:val="1"/>
              </w:numPr>
              <w:ind w:left="217" w:hanging="2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O trabalhador tenha tido formação profissional adequada ou licença para o mesmo fim, nos últimos 24 meses;</w:t>
            </w:r>
          </w:p>
          <w:p w:rsidR="00337A8B" w:rsidRPr="00FF7DF4" w:rsidRDefault="00337A8B" w:rsidP="00337A8B">
            <w:pPr>
              <w:pStyle w:val="PargrafodaLista"/>
              <w:numPr>
                <w:ilvl w:val="0"/>
                <w:numId w:val="1"/>
              </w:numPr>
              <w:ind w:left="217" w:hanging="2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A antiguidade do trabalhador no serviço seja inferior a 3 anos;</w:t>
            </w:r>
          </w:p>
          <w:p w:rsidR="00337A8B" w:rsidRPr="00FF7DF4" w:rsidRDefault="00337A8B" w:rsidP="00337A8B">
            <w:pPr>
              <w:pStyle w:val="PargrafodaLista"/>
              <w:numPr>
                <w:ilvl w:val="0"/>
                <w:numId w:val="1"/>
              </w:numPr>
              <w:ind w:left="217" w:hanging="2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Quando o requerimento da licença não tenha uma antecedência mínima de 90 dias em relação à data do seu início;</w:t>
            </w:r>
          </w:p>
          <w:p w:rsidR="00337A8B" w:rsidRPr="00FF7DF4" w:rsidRDefault="00337A8B" w:rsidP="00342037">
            <w:pPr>
              <w:pStyle w:val="PargrafodaLista"/>
              <w:numPr>
                <w:ilvl w:val="0"/>
                <w:numId w:val="1"/>
              </w:numPr>
              <w:ind w:left="217" w:hanging="2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O trabalhador for titular de cargo dirigente que chefie equipas multidisciplinares ou esteja integrado em carreira ou categoria de grau 3 de complexidade funcional, quando não seja possível a sua substituição.</w:t>
            </w:r>
            <w:r w:rsidR="00342037"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 xml:space="preserve"> </w:t>
            </w:r>
            <w:r w:rsidRPr="00FF7DF4">
              <w:rPr>
                <w:rFonts w:cs="Segoe UI"/>
                <w:color w:val="365F91" w:themeColor="accent1" w:themeShade="BF"/>
                <w:sz w:val="16"/>
                <w:szCs w:val="16"/>
              </w:rPr>
              <w:t>(nº 3 do art.º 280º)</w:t>
            </w:r>
          </w:p>
        </w:tc>
        <w:tc>
          <w:tcPr>
            <w:tcW w:w="2409" w:type="dxa"/>
            <w:gridSpan w:val="2"/>
            <w:vMerge/>
            <w:tcBorders>
              <w:bottom w:val="single" w:sz="8" w:space="0" w:color="7BA0CD" w:themeColor="accent1" w:themeTint="BF"/>
            </w:tcBorders>
            <w:shd w:val="clear" w:color="auto" w:fill="DBE5F1" w:themeFill="accent1" w:themeFillTint="33"/>
          </w:tcPr>
          <w:p w:rsidR="00337A8B" w:rsidRPr="00342037" w:rsidRDefault="00337A8B" w:rsidP="00B17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  <w:color w:val="FFFFFF" w:themeColor="background1"/>
              </w:rPr>
            </w:pPr>
          </w:p>
        </w:tc>
        <w:tc>
          <w:tcPr>
            <w:tcW w:w="2127" w:type="dxa"/>
            <w:vMerge/>
            <w:tcBorders>
              <w:bottom w:val="single" w:sz="8" w:space="0" w:color="7BA0CD" w:themeColor="accent1" w:themeTint="BF"/>
            </w:tcBorders>
            <w:shd w:val="clear" w:color="auto" w:fill="DBE5F1" w:themeFill="accent1" w:themeFillTint="33"/>
          </w:tcPr>
          <w:p w:rsidR="00337A8B" w:rsidRPr="00342037" w:rsidRDefault="00337A8B" w:rsidP="00B17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color w:val="FFFFFF" w:themeColor="background1"/>
              </w:rPr>
            </w:pPr>
          </w:p>
        </w:tc>
      </w:tr>
      <w:tr w:rsidR="00337A8B" w:rsidRPr="00EA6923" w:rsidTr="002E4721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10"/>
            <w:tcBorders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337A8B" w:rsidRPr="00342037" w:rsidRDefault="00337A8B" w:rsidP="000606A0">
            <w:pPr>
              <w:jc w:val="center"/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</w:pPr>
          </w:p>
          <w:p w:rsidR="00337A8B" w:rsidRDefault="00337A8B" w:rsidP="00342037">
            <w:pPr>
              <w:jc w:val="center"/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</w:pP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O trabalhador </w:t>
            </w:r>
            <w:r w:rsidRPr="00342037">
              <w:rPr>
                <w:rFonts w:cs="Segoe UI"/>
                <w:color w:val="365F91" w:themeColor="accent1" w:themeShade="BF"/>
                <w:sz w:val="18"/>
                <w:szCs w:val="18"/>
              </w:rPr>
              <w:t>requer</w:t>
            </w: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 ao </w:t>
            </w:r>
            <w:r w:rsidRPr="00342037">
              <w:rPr>
                <w:rFonts w:cs="Segoe UI"/>
                <w:color w:val="365F91" w:themeColor="accent1" w:themeShade="BF"/>
                <w:sz w:val="18"/>
                <w:szCs w:val="18"/>
              </w:rPr>
              <w:t>dirigente máximo</w:t>
            </w: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 </w:t>
            </w:r>
            <w:r w:rsidRPr="00342037">
              <w:rPr>
                <w:rFonts w:cs="Segoe UI"/>
                <w:color w:val="365F91" w:themeColor="accent1" w:themeShade="BF"/>
                <w:sz w:val="18"/>
                <w:szCs w:val="18"/>
              </w:rPr>
              <w:t>do serviço</w:t>
            </w: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 o pedido de licença, indicando a </w:t>
            </w:r>
            <w:r w:rsidRPr="00342037">
              <w:rPr>
                <w:rFonts w:cs="Segoe UI"/>
                <w:color w:val="365F91" w:themeColor="accent1" w:themeShade="BF"/>
                <w:sz w:val="18"/>
                <w:szCs w:val="18"/>
              </w:rPr>
              <w:t>duração</w:t>
            </w: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 da mesma e o </w:t>
            </w:r>
            <w:r w:rsidRPr="00342037">
              <w:rPr>
                <w:rFonts w:cs="Segoe UI"/>
                <w:color w:val="365F91" w:themeColor="accent1" w:themeShade="BF"/>
                <w:sz w:val="18"/>
                <w:szCs w:val="18"/>
              </w:rPr>
              <w:t>motivo</w:t>
            </w:r>
            <w:r w:rsidRPr="00342037"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  <w:t xml:space="preserve"> pelo qual a solicita.</w:t>
            </w:r>
          </w:p>
          <w:p w:rsidR="00342037" w:rsidRPr="00342037" w:rsidRDefault="00342037" w:rsidP="00342037">
            <w:pPr>
              <w:jc w:val="center"/>
              <w:rPr>
                <w:rFonts w:cs="Segoe UI"/>
                <w:b w:val="0"/>
                <w:color w:val="365F91" w:themeColor="accent1" w:themeShade="BF"/>
                <w:sz w:val="18"/>
                <w:szCs w:val="18"/>
              </w:rPr>
            </w:pPr>
          </w:p>
        </w:tc>
        <w:bookmarkStart w:id="0" w:name="_GoBack"/>
        <w:bookmarkEnd w:id="0"/>
      </w:tr>
      <w:tr w:rsidR="00342037" w:rsidRPr="00EA6923" w:rsidTr="0068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4"/>
            <w:tcBorders>
              <w:bottom w:val="single" w:sz="8" w:space="0" w:color="7BA0CD" w:themeColor="accent1" w:themeTint="BF"/>
            </w:tcBorders>
            <w:shd w:val="clear" w:color="auto" w:fill="FFFFFF" w:themeFill="background1"/>
            <w:vAlign w:val="center"/>
          </w:tcPr>
          <w:p w:rsidR="00342037" w:rsidRPr="00FF7DF4" w:rsidRDefault="00681A9F" w:rsidP="00681A9F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Nas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licenças </w:t>
            </w: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previstas para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acompanhamento do cônjuge colocado no estrangeiro</w:t>
            </w: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, bem como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para o exercício de funções em organismos internacionais </w:t>
            </w: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e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noutras licenças fundadas em circunstâncias de interesse público</w:t>
            </w: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, o trabalhador tem direito à contagem do tempo para efeitos de antiguidade e pode continuar a efetuar descontos para a ADSE ou outro subsistema de saúde de que beneficie, com base na remuneração auferida à data do início da licença.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</w:t>
            </w:r>
            <w:r w:rsidRPr="00681A9F">
              <w:rPr>
                <w:b w:val="0"/>
                <w:color w:val="365F91" w:themeColor="accent1" w:themeShade="BF"/>
                <w:sz w:val="16"/>
                <w:szCs w:val="16"/>
              </w:rPr>
              <w:t>(nº 3 do art.º 281º)</w:t>
            </w:r>
          </w:p>
        </w:tc>
        <w:tc>
          <w:tcPr>
            <w:tcW w:w="3402" w:type="dxa"/>
            <w:gridSpan w:val="2"/>
            <w:tcBorders>
              <w:bottom w:val="single" w:sz="8" w:space="0" w:color="7BA0CD" w:themeColor="accent1" w:themeTint="BF"/>
            </w:tcBorders>
            <w:shd w:val="clear" w:color="auto" w:fill="DDD9C3" w:themeFill="background2" w:themeFillShade="E6"/>
            <w:vAlign w:val="center"/>
          </w:tcPr>
          <w:p w:rsidR="00342037" w:rsidRPr="00C73AAB" w:rsidRDefault="00342037" w:rsidP="00342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73AAB">
              <w:rPr>
                <w:rFonts w:cs="Segoe UI"/>
                <w:bCs/>
                <w:color w:val="365F91" w:themeColor="accent1" w:themeShade="BF"/>
                <w:sz w:val="18"/>
                <w:szCs w:val="18"/>
              </w:rPr>
              <w:t xml:space="preserve">Todas as licenças </w:t>
            </w:r>
            <w:r w:rsidRPr="00C73AAB">
              <w:rPr>
                <w:rFonts w:cs="Segoe UI"/>
                <w:b/>
                <w:bCs/>
                <w:color w:val="365F91" w:themeColor="accent1" w:themeShade="BF"/>
                <w:sz w:val="18"/>
                <w:szCs w:val="18"/>
              </w:rPr>
              <w:t>determinam a suspensão do vínculo</w:t>
            </w:r>
          </w:p>
          <w:p w:rsidR="00342037" w:rsidRPr="00C73AAB" w:rsidRDefault="00342037" w:rsidP="00342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Cs/>
                <w:color w:val="365F91" w:themeColor="accent1" w:themeShade="BF"/>
                <w:sz w:val="18"/>
                <w:szCs w:val="18"/>
              </w:rPr>
            </w:pPr>
          </w:p>
          <w:p w:rsidR="00342037" w:rsidRPr="00342037" w:rsidRDefault="00342037" w:rsidP="00342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</w:pPr>
            <w:r w:rsidRPr="00342037"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  <w:t>(nº 1 do art.º 281º)</w:t>
            </w:r>
          </w:p>
        </w:tc>
        <w:tc>
          <w:tcPr>
            <w:tcW w:w="5812" w:type="dxa"/>
            <w:gridSpan w:val="4"/>
            <w:tcBorders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342037" w:rsidRDefault="00342037" w:rsidP="003420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65F91" w:themeColor="accent1" w:themeShade="BF"/>
                <w:sz w:val="16"/>
                <w:szCs w:val="16"/>
              </w:rPr>
            </w:pPr>
            <w:r w:rsidRPr="00342037">
              <w:rPr>
                <w:b/>
                <w:color w:val="365F91" w:themeColor="accent1" w:themeShade="BF"/>
                <w:sz w:val="16"/>
                <w:szCs w:val="16"/>
              </w:rPr>
              <w:t>Durante a redução ou suspensão do contrato:</w:t>
            </w:r>
          </w:p>
          <w:p w:rsidR="00342037" w:rsidRPr="00342037" w:rsidRDefault="00342037" w:rsidP="003420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65F91" w:themeColor="accent1" w:themeShade="BF"/>
                <w:sz w:val="16"/>
                <w:szCs w:val="16"/>
              </w:rPr>
            </w:pPr>
          </w:p>
          <w:p w:rsidR="00342037" w:rsidRPr="00342037" w:rsidRDefault="00342037" w:rsidP="00342037">
            <w:pPr>
              <w:pStyle w:val="PargrafodaLista"/>
              <w:numPr>
                <w:ilvl w:val="0"/>
                <w:numId w:val="2"/>
              </w:numPr>
              <w:ind w:left="426" w:hanging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65F91" w:themeColor="accent1" w:themeShade="BF"/>
                <w:sz w:val="16"/>
                <w:szCs w:val="16"/>
              </w:rPr>
            </w:pPr>
            <w:r w:rsidRPr="00342037">
              <w:rPr>
                <w:color w:val="365F91" w:themeColor="accent1" w:themeShade="BF"/>
                <w:sz w:val="16"/>
                <w:szCs w:val="16"/>
              </w:rPr>
              <w:t>Mantém-se os direitos, deveres e garantias das partes na medida em que pressuponham a efetiva prestação do trabalho;</w:t>
            </w:r>
          </w:p>
          <w:p w:rsidR="00342037" w:rsidRPr="00342037" w:rsidRDefault="00342037" w:rsidP="00342037">
            <w:pPr>
              <w:pStyle w:val="PargrafodaLista"/>
              <w:numPr>
                <w:ilvl w:val="0"/>
                <w:numId w:val="2"/>
              </w:numPr>
              <w:ind w:left="426" w:hanging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65F91" w:themeColor="accent1" w:themeShade="BF"/>
                <w:sz w:val="16"/>
                <w:szCs w:val="16"/>
              </w:rPr>
            </w:pPr>
            <w:r w:rsidRPr="00342037">
              <w:rPr>
                <w:color w:val="365F91" w:themeColor="accent1" w:themeShade="BF"/>
                <w:sz w:val="16"/>
                <w:szCs w:val="16"/>
              </w:rPr>
              <w:t>Não interrompe o decurso do prazo para efeitos de caducidade, nem obsta a que qualquer das partes faça cessar o contrato nos termos gerais. (nº 1 e nº 3 do art.º 277º)</w:t>
            </w:r>
          </w:p>
          <w:p w:rsidR="00342037" w:rsidRPr="00342037" w:rsidRDefault="00342037" w:rsidP="00060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color w:val="365F91" w:themeColor="accent1" w:themeShade="BF"/>
                <w:sz w:val="20"/>
                <w:szCs w:val="20"/>
              </w:rPr>
            </w:pPr>
          </w:p>
        </w:tc>
      </w:tr>
      <w:tr w:rsidR="00342037" w:rsidRPr="00EA6923" w:rsidTr="00E00970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10"/>
            <w:shd w:val="clear" w:color="auto" w:fill="DDD9C3" w:themeFill="background2" w:themeFillShade="E6"/>
            <w:vAlign w:val="center"/>
          </w:tcPr>
          <w:p w:rsidR="00FF7DF4" w:rsidRPr="00FF7DF4" w:rsidRDefault="00342037" w:rsidP="00FF7DF4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  <w:r w:rsidRPr="00FF7DF4">
              <w:rPr>
                <w:color w:val="365F91" w:themeColor="accent1" w:themeShade="BF"/>
                <w:sz w:val="20"/>
                <w:szCs w:val="20"/>
              </w:rPr>
              <w:t>Duração das Licenças</w:t>
            </w:r>
          </w:p>
        </w:tc>
      </w:tr>
      <w:tr w:rsidR="00342037" w:rsidRPr="00EA6923" w:rsidTr="002E4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gridSpan w:val="3"/>
            <w:tcBorders>
              <w:bottom w:val="single" w:sz="8" w:space="0" w:color="7BA0CD" w:themeColor="accent1" w:themeTint="BF"/>
            </w:tcBorders>
            <w:shd w:val="clear" w:color="auto" w:fill="FFFFFF" w:themeFill="background1"/>
            <w:vAlign w:val="center"/>
          </w:tcPr>
          <w:p w:rsidR="00342037" w:rsidRPr="00342037" w:rsidRDefault="00FF7DF4" w:rsidP="00FF7DF4">
            <w:pPr>
              <w:jc w:val="center"/>
              <w:rPr>
                <w:color w:val="365F91" w:themeColor="accent1" w:themeShade="BF"/>
                <w:sz w:val="16"/>
                <w:szCs w:val="16"/>
              </w:rPr>
            </w:pPr>
            <w:r>
              <w:rPr>
                <w:color w:val="365F91" w:themeColor="accent1" w:themeShade="BF"/>
                <w:sz w:val="16"/>
                <w:szCs w:val="16"/>
              </w:rPr>
              <w:t xml:space="preserve">Licenças </w:t>
            </w:r>
            <w:r w:rsidRPr="00FF7DF4">
              <w:rPr>
                <w:b w:val="0"/>
                <w:color w:val="365F91" w:themeColor="accent1" w:themeShade="BF"/>
                <w:sz w:val="16"/>
                <w:szCs w:val="16"/>
              </w:rPr>
              <w:t>de duração</w:t>
            </w:r>
            <w:r>
              <w:rPr>
                <w:color w:val="365F91" w:themeColor="accent1" w:themeShade="BF"/>
                <w:sz w:val="16"/>
                <w:szCs w:val="16"/>
              </w:rPr>
              <w:t xml:space="preserve"> inferior a 1 ano</w:t>
            </w:r>
          </w:p>
        </w:tc>
        <w:tc>
          <w:tcPr>
            <w:tcW w:w="7087" w:type="dxa"/>
            <w:gridSpan w:val="5"/>
            <w:tcBorders>
              <w:bottom w:val="single" w:sz="8" w:space="0" w:color="7BA0CD" w:themeColor="accent1" w:themeTint="BF"/>
            </w:tcBorders>
            <w:shd w:val="clear" w:color="auto" w:fill="FFFFFF" w:themeFill="background1"/>
            <w:vAlign w:val="center"/>
          </w:tcPr>
          <w:p w:rsidR="00342037" w:rsidRPr="00FF7DF4" w:rsidRDefault="00FF7DF4" w:rsidP="00FF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rFonts w:cs="Segoe UI"/>
                <w:b/>
                <w:bCs/>
                <w:color w:val="365F91" w:themeColor="accent1" w:themeShade="BF"/>
                <w:sz w:val="16"/>
                <w:szCs w:val="16"/>
              </w:rPr>
              <w:t>Licenças</w:t>
            </w:r>
            <w:r w:rsidRPr="00FF7DF4"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  <w:t xml:space="preserve"> para </w:t>
            </w:r>
            <w:r w:rsidRPr="00FF7DF4">
              <w:rPr>
                <w:rFonts w:cs="Segoe UI"/>
                <w:b/>
                <w:bCs/>
                <w:color w:val="365F91" w:themeColor="accent1" w:themeShade="BF"/>
                <w:sz w:val="16"/>
                <w:szCs w:val="16"/>
              </w:rPr>
              <w:t>acompanhamento do cônjuge no estrangeiro</w:t>
            </w:r>
            <w:r w:rsidRPr="00FF7DF4"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  <w:t xml:space="preserve">, para </w:t>
            </w:r>
            <w:r w:rsidRPr="00FF7DF4">
              <w:rPr>
                <w:rFonts w:cs="Segoe UI"/>
                <w:b/>
                <w:bCs/>
                <w:color w:val="365F91" w:themeColor="accent1" w:themeShade="BF"/>
                <w:sz w:val="16"/>
                <w:szCs w:val="16"/>
              </w:rPr>
              <w:t>o exercício de funções em organismos internacionais e outras fundadas em interesse público</w:t>
            </w:r>
            <w:r w:rsidRPr="00FF7DF4">
              <w:rPr>
                <w:rFonts w:cs="Segoe UI"/>
                <w:bCs/>
                <w:color w:val="365F91" w:themeColor="accent1" w:themeShade="BF"/>
                <w:sz w:val="16"/>
                <w:szCs w:val="16"/>
              </w:rPr>
              <w:t>, independentemente da duração.</w:t>
            </w:r>
          </w:p>
        </w:tc>
        <w:tc>
          <w:tcPr>
            <w:tcW w:w="3686" w:type="dxa"/>
            <w:gridSpan w:val="2"/>
            <w:tcBorders>
              <w:bottom w:val="single" w:sz="8" w:space="0" w:color="7BA0CD" w:themeColor="accent1" w:themeTint="BF"/>
            </w:tcBorders>
            <w:shd w:val="clear" w:color="auto" w:fill="FFFFFF" w:themeFill="background1"/>
            <w:vAlign w:val="center"/>
          </w:tcPr>
          <w:p w:rsidR="00342037" w:rsidRPr="00342037" w:rsidRDefault="00FF7DF4" w:rsidP="00FF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65F91" w:themeColor="accent1" w:themeShade="BF"/>
                <w:sz w:val="16"/>
                <w:szCs w:val="16"/>
              </w:rPr>
            </w:pPr>
            <w:r>
              <w:rPr>
                <w:b/>
                <w:color w:val="365F91" w:themeColor="accent1" w:themeShade="BF"/>
                <w:sz w:val="16"/>
                <w:szCs w:val="16"/>
              </w:rPr>
              <w:t xml:space="preserve">Licenças </w:t>
            </w:r>
            <w:r w:rsidRPr="00FF7DF4">
              <w:rPr>
                <w:color w:val="365F91" w:themeColor="accent1" w:themeShade="BF"/>
                <w:sz w:val="16"/>
                <w:szCs w:val="16"/>
              </w:rPr>
              <w:t>de duração igual</w:t>
            </w:r>
            <w:r>
              <w:rPr>
                <w:b/>
                <w:color w:val="365F91" w:themeColor="accent1" w:themeShade="BF"/>
                <w:sz w:val="16"/>
                <w:szCs w:val="16"/>
              </w:rPr>
              <w:t xml:space="preserve"> ou superior a 1 ano</w:t>
            </w:r>
          </w:p>
        </w:tc>
      </w:tr>
      <w:tr w:rsidR="00FF7DF4" w:rsidRPr="00FF7DF4" w:rsidTr="00E00970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10"/>
            <w:shd w:val="clear" w:color="auto" w:fill="DDD9C3" w:themeFill="background2" w:themeFillShade="E6"/>
            <w:vAlign w:val="center"/>
          </w:tcPr>
          <w:p w:rsidR="00FF7DF4" w:rsidRPr="0028048F" w:rsidRDefault="00FF7DF4" w:rsidP="00E73687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  <w:r w:rsidRPr="0028048F">
              <w:rPr>
                <w:color w:val="365F91" w:themeColor="accent1" w:themeShade="BF"/>
                <w:sz w:val="20"/>
                <w:szCs w:val="20"/>
              </w:rPr>
              <w:t xml:space="preserve">Regresso </w:t>
            </w:r>
            <w:r w:rsidRPr="0028048F">
              <w:rPr>
                <w:b w:val="0"/>
                <w:color w:val="365F91" w:themeColor="accent1" w:themeShade="BF"/>
                <w:sz w:val="20"/>
                <w:szCs w:val="20"/>
              </w:rPr>
              <w:t>do trabalhador ao</w:t>
            </w:r>
            <w:r w:rsidRPr="0028048F">
              <w:rPr>
                <w:color w:val="365F91" w:themeColor="accent1" w:themeShade="BF"/>
                <w:sz w:val="20"/>
                <w:szCs w:val="20"/>
              </w:rPr>
              <w:t xml:space="preserve"> serviço</w:t>
            </w:r>
          </w:p>
        </w:tc>
      </w:tr>
      <w:tr w:rsidR="00FF7DF4" w:rsidRPr="00342037" w:rsidTr="009629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1" w:type="dxa"/>
            <w:gridSpan w:val="5"/>
            <w:shd w:val="clear" w:color="auto" w:fill="FFFFFF" w:themeFill="background1"/>
            <w:vAlign w:val="center"/>
          </w:tcPr>
          <w:p w:rsidR="00FF7DF4" w:rsidRDefault="00FF7DF4" w:rsidP="00E73687">
            <w:pPr>
              <w:jc w:val="center"/>
              <w:rPr>
                <w:bCs w:val="0"/>
                <w:color w:val="365F91" w:themeColor="accent1" w:themeShade="BF"/>
                <w:sz w:val="16"/>
                <w:szCs w:val="16"/>
              </w:rPr>
            </w:pPr>
            <w:r>
              <w:rPr>
                <w:bCs w:val="0"/>
                <w:color w:val="365F91" w:themeColor="accent1" w:themeShade="BF"/>
                <w:sz w:val="16"/>
                <w:szCs w:val="16"/>
              </w:rPr>
              <w:t>Após terminar o período da licença</w:t>
            </w:r>
          </w:p>
          <w:p w:rsidR="00FF7DF4" w:rsidRPr="00FF7DF4" w:rsidRDefault="00FF7DF4" w:rsidP="00E73687">
            <w:pPr>
              <w:jc w:val="center"/>
              <w:rPr>
                <w:b w:val="0"/>
                <w:bCs w:val="0"/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b w:val="0"/>
                <w:bCs w:val="0"/>
                <w:color w:val="365F91" w:themeColor="accent1" w:themeShade="BF"/>
                <w:sz w:val="16"/>
                <w:szCs w:val="16"/>
              </w:rPr>
              <w:t>(nº 4 do art.º 281º)</w:t>
            </w:r>
          </w:p>
        </w:tc>
        <w:tc>
          <w:tcPr>
            <w:tcW w:w="7071" w:type="dxa"/>
            <w:gridSpan w:val="5"/>
            <w:shd w:val="clear" w:color="auto" w:fill="FFFFFF" w:themeFill="background1"/>
            <w:vAlign w:val="center"/>
          </w:tcPr>
          <w:p w:rsidR="00FF7DF4" w:rsidRDefault="00FF7DF4" w:rsidP="00E73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65F91" w:themeColor="accent1" w:themeShade="BF"/>
                <w:sz w:val="16"/>
                <w:szCs w:val="16"/>
              </w:rPr>
            </w:pPr>
            <w:r>
              <w:rPr>
                <w:b/>
                <w:color w:val="365F91" w:themeColor="accent1" w:themeShade="BF"/>
                <w:sz w:val="16"/>
                <w:szCs w:val="16"/>
              </w:rPr>
              <w:t>Regresso antecipado</w:t>
            </w:r>
          </w:p>
          <w:p w:rsidR="00FF7DF4" w:rsidRPr="00FF7DF4" w:rsidRDefault="00FF7DF4" w:rsidP="00E73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65F91" w:themeColor="accent1" w:themeShade="BF"/>
                <w:sz w:val="16"/>
                <w:szCs w:val="16"/>
              </w:rPr>
            </w:pPr>
            <w:r w:rsidRPr="00FF7DF4">
              <w:rPr>
                <w:color w:val="365F91" w:themeColor="accent1" w:themeShade="BF"/>
                <w:sz w:val="16"/>
                <w:szCs w:val="16"/>
              </w:rPr>
              <w:t>(nº 6 do art.º 281º)</w:t>
            </w:r>
          </w:p>
        </w:tc>
      </w:tr>
      <w:tr w:rsidR="00FF7DF4" w:rsidRPr="00342037" w:rsidTr="00AD46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10"/>
            <w:shd w:val="clear" w:color="auto" w:fill="FFFFFF" w:themeFill="background1"/>
            <w:vAlign w:val="center"/>
          </w:tcPr>
          <w:p w:rsidR="00FF7DF4" w:rsidRPr="00C73AAB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Nas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licenças de duração inferior a 1 ano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, nas previstas para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acompanhamento do cônjuge colocado no estrangeiro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, para o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exercício de funções em organismos internacionais e outras fundadas em circunstâncias de interesse público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 o trabalhador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 xml:space="preserve">tem direito à ocupação de um posto de trabalho 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>no órgão ou serviço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 xml:space="preserve"> após terminar o período da licença</w:t>
            </w:r>
            <w:r w:rsidR="00C73AAB">
              <w:rPr>
                <w:color w:val="365F91" w:themeColor="accent1" w:themeShade="BF"/>
                <w:sz w:val="16"/>
                <w:szCs w:val="16"/>
              </w:rPr>
              <w:t>.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 (nº 4 do art.º 281º)</w:t>
            </w:r>
          </w:p>
          <w:p w:rsidR="00FF7DF4" w:rsidRPr="00C73AAB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</w:p>
          <w:p w:rsidR="00FF7DF4" w:rsidRPr="00C73AAB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Nas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licenças de duração igual ou superior a 1 ano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, o trabalhador deve aguardar a previsão no mapa de pessoal, de um posto de trabalho não ocupado, podendo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candidatar-se a procedimento concursal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 para outro órgão ou serviço. (nº 5 do art.º 281º)</w:t>
            </w:r>
          </w:p>
          <w:p w:rsidR="00FF7DF4" w:rsidRPr="00C73AAB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</w:p>
          <w:p w:rsidR="00FF7DF4" w:rsidRPr="00C73AAB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Em caso de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regresso antecipado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, o trabalhador deve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aguardar a previsão no mapa de pessoal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, de um posto de trabalho não ocupado, podendo </w:t>
            </w:r>
            <w:r w:rsidRPr="00C73AAB">
              <w:rPr>
                <w:color w:val="365F91" w:themeColor="accent1" w:themeShade="BF"/>
                <w:sz w:val="16"/>
                <w:szCs w:val="16"/>
              </w:rPr>
              <w:t>candidatar-se a procedimento concursal</w:t>
            </w:r>
            <w:r w:rsidRPr="00C73AAB">
              <w:rPr>
                <w:b w:val="0"/>
                <w:color w:val="365F91" w:themeColor="accent1" w:themeShade="BF"/>
                <w:sz w:val="16"/>
                <w:szCs w:val="16"/>
              </w:rPr>
              <w:t xml:space="preserve"> para outro órgão ou serviço.</w:t>
            </w:r>
          </w:p>
          <w:p w:rsidR="00FF7DF4" w:rsidRPr="00FF7DF4" w:rsidRDefault="00FF7DF4" w:rsidP="00FF7DF4">
            <w:pPr>
              <w:jc w:val="both"/>
              <w:rPr>
                <w:b w:val="0"/>
                <w:color w:val="365F91" w:themeColor="accent1" w:themeShade="BF"/>
                <w:sz w:val="16"/>
                <w:szCs w:val="16"/>
              </w:rPr>
            </w:pPr>
          </w:p>
        </w:tc>
      </w:tr>
    </w:tbl>
    <w:p w:rsidR="000606A0" w:rsidRDefault="000606A0" w:rsidP="00F90D08"/>
    <w:sectPr w:rsidR="000606A0" w:rsidSect="002E4721">
      <w:headerReference w:type="default" r:id="rId10"/>
      <w:pgSz w:w="16838" w:h="11906" w:orient="landscape"/>
      <w:pgMar w:top="1026" w:right="1418" w:bottom="567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FEF" w:rsidRDefault="00B17FEF" w:rsidP="00B17FEF">
      <w:pPr>
        <w:spacing w:after="0" w:line="240" w:lineRule="auto"/>
      </w:pPr>
      <w:r>
        <w:separator/>
      </w:r>
    </w:p>
  </w:endnote>
  <w:endnote w:type="continuationSeparator" w:id="0">
    <w:p w:rsidR="00B17FEF" w:rsidRDefault="00B17FEF" w:rsidP="00B1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FEF" w:rsidRDefault="00B17FEF" w:rsidP="00B17FEF">
      <w:pPr>
        <w:spacing w:after="0" w:line="240" w:lineRule="auto"/>
      </w:pPr>
      <w:r>
        <w:separator/>
      </w:r>
    </w:p>
  </w:footnote>
  <w:footnote w:type="continuationSeparator" w:id="0">
    <w:p w:rsidR="00B17FEF" w:rsidRDefault="00B17FEF" w:rsidP="00B17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EF" w:rsidRDefault="00B17FEF">
    <w:pPr>
      <w:pStyle w:val="Cabealho"/>
    </w:pPr>
    <w:r w:rsidRPr="00EA6923">
      <w:rPr>
        <w:rFonts w:ascii="Arial Narrow" w:hAnsi="Arial Narrow"/>
        <w:noProof/>
        <w:lang w:eastAsia="pt-PT"/>
      </w:rPr>
      <w:drawing>
        <wp:inline distT="0" distB="0" distL="0" distR="0" wp14:anchorId="0EAFD226" wp14:editId="0A1DB5CE">
          <wp:extent cx="1089329" cy="420877"/>
          <wp:effectExtent l="0" t="0" r="0" b="0"/>
          <wp:docPr id="1" name="Imagem 1" descr="\\s0204fpsa\users\as196716\Ambiente de trabalho\LOGO DRE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s0204fpsa\users\as196716\Ambiente de trabalho\LOGO DRE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671" cy="426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A6923">
      <w:rPr>
        <w:rFonts w:ascii="Arial Narrow" w:hAnsi="Arial Narrow"/>
      </w:rPr>
      <w:t xml:space="preserve">                                                                                                                                                                                                         </w:t>
    </w:r>
    <w:r w:rsidR="004D70BD">
      <w:rPr>
        <w:rFonts w:ascii="Arial Narrow" w:hAnsi="Arial Narrow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1715B"/>
    <w:multiLevelType w:val="hybridMultilevel"/>
    <w:tmpl w:val="21C28D98"/>
    <w:lvl w:ilvl="0" w:tplc="A412F3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66E25"/>
    <w:multiLevelType w:val="hybridMultilevel"/>
    <w:tmpl w:val="28C6A7B4"/>
    <w:lvl w:ilvl="0" w:tplc="07D0F6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>
      <o:colormenu v:ext="edit" fillcolor="none [321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EF"/>
    <w:rsid w:val="00000D63"/>
    <w:rsid w:val="00015ACF"/>
    <w:rsid w:val="00016D0F"/>
    <w:rsid w:val="00022422"/>
    <w:rsid w:val="00022858"/>
    <w:rsid w:val="00026082"/>
    <w:rsid w:val="00031B50"/>
    <w:rsid w:val="00032385"/>
    <w:rsid w:val="000327B1"/>
    <w:rsid w:val="00040EDE"/>
    <w:rsid w:val="00047ADA"/>
    <w:rsid w:val="00051ADC"/>
    <w:rsid w:val="000522B4"/>
    <w:rsid w:val="000606A0"/>
    <w:rsid w:val="000621D7"/>
    <w:rsid w:val="00065C55"/>
    <w:rsid w:val="0006605A"/>
    <w:rsid w:val="000715A1"/>
    <w:rsid w:val="00076543"/>
    <w:rsid w:val="000772E8"/>
    <w:rsid w:val="000962C8"/>
    <w:rsid w:val="000A1F81"/>
    <w:rsid w:val="000B468E"/>
    <w:rsid w:val="000B585D"/>
    <w:rsid w:val="000C4263"/>
    <w:rsid w:val="000C56AD"/>
    <w:rsid w:val="000C6A32"/>
    <w:rsid w:val="000D5F1C"/>
    <w:rsid w:val="000D7AB1"/>
    <w:rsid w:val="000E1D3F"/>
    <w:rsid w:val="000E54F8"/>
    <w:rsid w:val="0010117E"/>
    <w:rsid w:val="0010508F"/>
    <w:rsid w:val="00105599"/>
    <w:rsid w:val="00120F64"/>
    <w:rsid w:val="00122C0E"/>
    <w:rsid w:val="00126A5A"/>
    <w:rsid w:val="00135A55"/>
    <w:rsid w:val="00146825"/>
    <w:rsid w:val="00151C69"/>
    <w:rsid w:val="00153322"/>
    <w:rsid w:val="00160F0B"/>
    <w:rsid w:val="00162EF4"/>
    <w:rsid w:val="00164263"/>
    <w:rsid w:val="001731BC"/>
    <w:rsid w:val="00185A3C"/>
    <w:rsid w:val="00190175"/>
    <w:rsid w:val="001A3D1B"/>
    <w:rsid w:val="001B1CDA"/>
    <w:rsid w:val="001B651B"/>
    <w:rsid w:val="001C2B32"/>
    <w:rsid w:val="001C4B7F"/>
    <w:rsid w:val="001C6E35"/>
    <w:rsid w:val="001C7A0C"/>
    <w:rsid w:val="001D2DF1"/>
    <w:rsid w:val="001E52BE"/>
    <w:rsid w:val="001F0F88"/>
    <w:rsid w:val="001F6436"/>
    <w:rsid w:val="001F6B0B"/>
    <w:rsid w:val="00204042"/>
    <w:rsid w:val="00204474"/>
    <w:rsid w:val="00213F2A"/>
    <w:rsid w:val="00214AE0"/>
    <w:rsid w:val="00231EEC"/>
    <w:rsid w:val="00237176"/>
    <w:rsid w:val="0024402E"/>
    <w:rsid w:val="00266019"/>
    <w:rsid w:val="00267AB8"/>
    <w:rsid w:val="00274F13"/>
    <w:rsid w:val="002758FF"/>
    <w:rsid w:val="0028048F"/>
    <w:rsid w:val="00281D78"/>
    <w:rsid w:val="0028594D"/>
    <w:rsid w:val="00291D7F"/>
    <w:rsid w:val="002957E2"/>
    <w:rsid w:val="002A06A5"/>
    <w:rsid w:val="002A40C4"/>
    <w:rsid w:val="002B20FA"/>
    <w:rsid w:val="002C225F"/>
    <w:rsid w:val="002C5486"/>
    <w:rsid w:val="002C6E26"/>
    <w:rsid w:val="002D0C72"/>
    <w:rsid w:val="002D3D91"/>
    <w:rsid w:val="002D5244"/>
    <w:rsid w:val="002E2404"/>
    <w:rsid w:val="002E323D"/>
    <w:rsid w:val="002E4721"/>
    <w:rsid w:val="002F13A8"/>
    <w:rsid w:val="003010E9"/>
    <w:rsid w:val="003032E0"/>
    <w:rsid w:val="0031051D"/>
    <w:rsid w:val="00313227"/>
    <w:rsid w:val="003143DE"/>
    <w:rsid w:val="00317BF4"/>
    <w:rsid w:val="00320AD2"/>
    <w:rsid w:val="00321299"/>
    <w:rsid w:val="00323A2A"/>
    <w:rsid w:val="00325D23"/>
    <w:rsid w:val="00325D48"/>
    <w:rsid w:val="003309D8"/>
    <w:rsid w:val="00334C2C"/>
    <w:rsid w:val="00336EFF"/>
    <w:rsid w:val="00337A8B"/>
    <w:rsid w:val="00342037"/>
    <w:rsid w:val="00350347"/>
    <w:rsid w:val="00354A9B"/>
    <w:rsid w:val="00356BFB"/>
    <w:rsid w:val="00357E2F"/>
    <w:rsid w:val="003603BC"/>
    <w:rsid w:val="00361D92"/>
    <w:rsid w:val="00362866"/>
    <w:rsid w:val="003663D0"/>
    <w:rsid w:val="00373063"/>
    <w:rsid w:val="00377505"/>
    <w:rsid w:val="00392D48"/>
    <w:rsid w:val="00394BB4"/>
    <w:rsid w:val="00397119"/>
    <w:rsid w:val="00397C53"/>
    <w:rsid w:val="003A7AB0"/>
    <w:rsid w:val="003B2C04"/>
    <w:rsid w:val="003B415C"/>
    <w:rsid w:val="003B6272"/>
    <w:rsid w:val="003C5436"/>
    <w:rsid w:val="003D23AC"/>
    <w:rsid w:val="003E5E19"/>
    <w:rsid w:val="00402864"/>
    <w:rsid w:val="00410741"/>
    <w:rsid w:val="00416412"/>
    <w:rsid w:val="00422034"/>
    <w:rsid w:val="00423E5D"/>
    <w:rsid w:val="00425ED5"/>
    <w:rsid w:val="0044289F"/>
    <w:rsid w:val="0044435A"/>
    <w:rsid w:val="00450787"/>
    <w:rsid w:val="00464D56"/>
    <w:rsid w:val="0047125E"/>
    <w:rsid w:val="0047185A"/>
    <w:rsid w:val="00471A58"/>
    <w:rsid w:val="00473726"/>
    <w:rsid w:val="004759AF"/>
    <w:rsid w:val="00477AED"/>
    <w:rsid w:val="00487675"/>
    <w:rsid w:val="00497212"/>
    <w:rsid w:val="004A40D4"/>
    <w:rsid w:val="004B34E2"/>
    <w:rsid w:val="004B425B"/>
    <w:rsid w:val="004B6073"/>
    <w:rsid w:val="004C10ED"/>
    <w:rsid w:val="004C30BB"/>
    <w:rsid w:val="004C5772"/>
    <w:rsid w:val="004C5F66"/>
    <w:rsid w:val="004D0FF2"/>
    <w:rsid w:val="004D2B84"/>
    <w:rsid w:val="004D70BD"/>
    <w:rsid w:val="004E2FA9"/>
    <w:rsid w:val="004E4A14"/>
    <w:rsid w:val="004E5598"/>
    <w:rsid w:val="004E7EBC"/>
    <w:rsid w:val="004F4CAB"/>
    <w:rsid w:val="005004C8"/>
    <w:rsid w:val="005015F2"/>
    <w:rsid w:val="005069A2"/>
    <w:rsid w:val="00507E8B"/>
    <w:rsid w:val="00511D30"/>
    <w:rsid w:val="005178C3"/>
    <w:rsid w:val="00520C39"/>
    <w:rsid w:val="005233C3"/>
    <w:rsid w:val="00525789"/>
    <w:rsid w:val="00532FBA"/>
    <w:rsid w:val="00536C47"/>
    <w:rsid w:val="00540071"/>
    <w:rsid w:val="00541FE9"/>
    <w:rsid w:val="0054615B"/>
    <w:rsid w:val="00550456"/>
    <w:rsid w:val="005517B2"/>
    <w:rsid w:val="00552399"/>
    <w:rsid w:val="0055289D"/>
    <w:rsid w:val="00554B07"/>
    <w:rsid w:val="00555C6C"/>
    <w:rsid w:val="00556674"/>
    <w:rsid w:val="00556F26"/>
    <w:rsid w:val="00571AD6"/>
    <w:rsid w:val="00573A3A"/>
    <w:rsid w:val="005820B3"/>
    <w:rsid w:val="005934A4"/>
    <w:rsid w:val="005A288D"/>
    <w:rsid w:val="005B1019"/>
    <w:rsid w:val="005B2E87"/>
    <w:rsid w:val="005B3E86"/>
    <w:rsid w:val="005C443F"/>
    <w:rsid w:val="005D3B71"/>
    <w:rsid w:val="005E2535"/>
    <w:rsid w:val="005F1C60"/>
    <w:rsid w:val="005F40CF"/>
    <w:rsid w:val="006049B0"/>
    <w:rsid w:val="00605062"/>
    <w:rsid w:val="0060775B"/>
    <w:rsid w:val="0061223E"/>
    <w:rsid w:val="0062106E"/>
    <w:rsid w:val="0062262A"/>
    <w:rsid w:val="00626A52"/>
    <w:rsid w:val="00631025"/>
    <w:rsid w:val="00642272"/>
    <w:rsid w:val="0065645B"/>
    <w:rsid w:val="006601E5"/>
    <w:rsid w:val="0066037B"/>
    <w:rsid w:val="006627E7"/>
    <w:rsid w:val="00665032"/>
    <w:rsid w:val="00667694"/>
    <w:rsid w:val="00670A47"/>
    <w:rsid w:val="00671255"/>
    <w:rsid w:val="00675185"/>
    <w:rsid w:val="00676309"/>
    <w:rsid w:val="00681A9F"/>
    <w:rsid w:val="006842EA"/>
    <w:rsid w:val="00694653"/>
    <w:rsid w:val="0069525B"/>
    <w:rsid w:val="006A11E2"/>
    <w:rsid w:val="006A2043"/>
    <w:rsid w:val="006A5E72"/>
    <w:rsid w:val="006B0879"/>
    <w:rsid w:val="006B258F"/>
    <w:rsid w:val="006B3989"/>
    <w:rsid w:val="006B51C3"/>
    <w:rsid w:val="006C04B2"/>
    <w:rsid w:val="006C6E7D"/>
    <w:rsid w:val="006C7401"/>
    <w:rsid w:val="006D0C77"/>
    <w:rsid w:val="006D2D29"/>
    <w:rsid w:val="006E012E"/>
    <w:rsid w:val="006E33EC"/>
    <w:rsid w:val="006E5CE5"/>
    <w:rsid w:val="007038FC"/>
    <w:rsid w:val="0071180B"/>
    <w:rsid w:val="007160E7"/>
    <w:rsid w:val="007174FB"/>
    <w:rsid w:val="00720B81"/>
    <w:rsid w:val="00722BFE"/>
    <w:rsid w:val="00723913"/>
    <w:rsid w:val="00725D96"/>
    <w:rsid w:val="0072613F"/>
    <w:rsid w:val="00726587"/>
    <w:rsid w:val="00727A57"/>
    <w:rsid w:val="007364C8"/>
    <w:rsid w:val="007405D6"/>
    <w:rsid w:val="00742754"/>
    <w:rsid w:val="00742BA3"/>
    <w:rsid w:val="00746CD2"/>
    <w:rsid w:val="007572A0"/>
    <w:rsid w:val="00757805"/>
    <w:rsid w:val="00784437"/>
    <w:rsid w:val="00793B97"/>
    <w:rsid w:val="007A1E25"/>
    <w:rsid w:val="007A3669"/>
    <w:rsid w:val="007B7637"/>
    <w:rsid w:val="007B7964"/>
    <w:rsid w:val="007C2A2B"/>
    <w:rsid w:val="007C76C9"/>
    <w:rsid w:val="007C7E4D"/>
    <w:rsid w:val="007D540D"/>
    <w:rsid w:val="007D6C55"/>
    <w:rsid w:val="007E2BCE"/>
    <w:rsid w:val="007E48EC"/>
    <w:rsid w:val="007F01AD"/>
    <w:rsid w:val="007F1A3E"/>
    <w:rsid w:val="007F67B5"/>
    <w:rsid w:val="00806A55"/>
    <w:rsid w:val="00807E4B"/>
    <w:rsid w:val="00813219"/>
    <w:rsid w:val="00825382"/>
    <w:rsid w:val="00827761"/>
    <w:rsid w:val="00830ECA"/>
    <w:rsid w:val="0083320A"/>
    <w:rsid w:val="00833701"/>
    <w:rsid w:val="008452F0"/>
    <w:rsid w:val="0084745C"/>
    <w:rsid w:val="008512FA"/>
    <w:rsid w:val="00851C82"/>
    <w:rsid w:val="00855312"/>
    <w:rsid w:val="00860CEF"/>
    <w:rsid w:val="00862F8F"/>
    <w:rsid w:val="008713ED"/>
    <w:rsid w:val="00871BE9"/>
    <w:rsid w:val="00875373"/>
    <w:rsid w:val="008767AB"/>
    <w:rsid w:val="008776A0"/>
    <w:rsid w:val="00884D23"/>
    <w:rsid w:val="008913F9"/>
    <w:rsid w:val="008979A6"/>
    <w:rsid w:val="008A4AAE"/>
    <w:rsid w:val="008B2D27"/>
    <w:rsid w:val="008B361B"/>
    <w:rsid w:val="008B496B"/>
    <w:rsid w:val="008B634C"/>
    <w:rsid w:val="008C3845"/>
    <w:rsid w:val="008C3E3E"/>
    <w:rsid w:val="008C3E5E"/>
    <w:rsid w:val="008C600A"/>
    <w:rsid w:val="008D03D8"/>
    <w:rsid w:val="008D0C39"/>
    <w:rsid w:val="008D7E9D"/>
    <w:rsid w:val="008E6798"/>
    <w:rsid w:val="008E7360"/>
    <w:rsid w:val="008F23B7"/>
    <w:rsid w:val="008F7195"/>
    <w:rsid w:val="008F7516"/>
    <w:rsid w:val="008F755D"/>
    <w:rsid w:val="00907E7A"/>
    <w:rsid w:val="00910D19"/>
    <w:rsid w:val="00920C07"/>
    <w:rsid w:val="0092217F"/>
    <w:rsid w:val="00932619"/>
    <w:rsid w:val="00941D95"/>
    <w:rsid w:val="00943D67"/>
    <w:rsid w:val="009619E9"/>
    <w:rsid w:val="00966370"/>
    <w:rsid w:val="00973874"/>
    <w:rsid w:val="00976BF6"/>
    <w:rsid w:val="00982330"/>
    <w:rsid w:val="0099055C"/>
    <w:rsid w:val="00995B96"/>
    <w:rsid w:val="009A3584"/>
    <w:rsid w:val="009A4F67"/>
    <w:rsid w:val="009B0B9A"/>
    <w:rsid w:val="009B2A86"/>
    <w:rsid w:val="009B7E77"/>
    <w:rsid w:val="009C7E3A"/>
    <w:rsid w:val="009D142D"/>
    <w:rsid w:val="009D2F06"/>
    <w:rsid w:val="009D34F9"/>
    <w:rsid w:val="009D4917"/>
    <w:rsid w:val="009D4FB5"/>
    <w:rsid w:val="009D529B"/>
    <w:rsid w:val="009D64CA"/>
    <w:rsid w:val="009D7774"/>
    <w:rsid w:val="009F356A"/>
    <w:rsid w:val="009F4EE8"/>
    <w:rsid w:val="009F5C7D"/>
    <w:rsid w:val="00A01E8C"/>
    <w:rsid w:val="00A03980"/>
    <w:rsid w:val="00A05C5F"/>
    <w:rsid w:val="00A07E66"/>
    <w:rsid w:val="00A102F3"/>
    <w:rsid w:val="00A10BB4"/>
    <w:rsid w:val="00A14B75"/>
    <w:rsid w:val="00A170DF"/>
    <w:rsid w:val="00A251BE"/>
    <w:rsid w:val="00A2741F"/>
    <w:rsid w:val="00A4205A"/>
    <w:rsid w:val="00A42542"/>
    <w:rsid w:val="00A44CCF"/>
    <w:rsid w:val="00A56F1E"/>
    <w:rsid w:val="00A66C3A"/>
    <w:rsid w:val="00A71298"/>
    <w:rsid w:val="00A71DF7"/>
    <w:rsid w:val="00A73DF6"/>
    <w:rsid w:val="00A83BC4"/>
    <w:rsid w:val="00A83E98"/>
    <w:rsid w:val="00A87625"/>
    <w:rsid w:val="00A90EFA"/>
    <w:rsid w:val="00A9200E"/>
    <w:rsid w:val="00A94839"/>
    <w:rsid w:val="00A96809"/>
    <w:rsid w:val="00A96E31"/>
    <w:rsid w:val="00AA5B57"/>
    <w:rsid w:val="00AB64FF"/>
    <w:rsid w:val="00AB725C"/>
    <w:rsid w:val="00AD73A2"/>
    <w:rsid w:val="00AE0B00"/>
    <w:rsid w:val="00AE1665"/>
    <w:rsid w:val="00AE2609"/>
    <w:rsid w:val="00AE2650"/>
    <w:rsid w:val="00AE70C8"/>
    <w:rsid w:val="00AE7BDC"/>
    <w:rsid w:val="00AF65FE"/>
    <w:rsid w:val="00B011D7"/>
    <w:rsid w:val="00B0326B"/>
    <w:rsid w:val="00B04B3F"/>
    <w:rsid w:val="00B110AA"/>
    <w:rsid w:val="00B122EE"/>
    <w:rsid w:val="00B17FEF"/>
    <w:rsid w:val="00B22EC4"/>
    <w:rsid w:val="00B33FD4"/>
    <w:rsid w:val="00B52D17"/>
    <w:rsid w:val="00B63BCE"/>
    <w:rsid w:val="00B655FA"/>
    <w:rsid w:val="00B752B4"/>
    <w:rsid w:val="00B76200"/>
    <w:rsid w:val="00B833AF"/>
    <w:rsid w:val="00B84126"/>
    <w:rsid w:val="00B85A82"/>
    <w:rsid w:val="00B93FA5"/>
    <w:rsid w:val="00B9631C"/>
    <w:rsid w:val="00BB02FE"/>
    <w:rsid w:val="00BB10D0"/>
    <w:rsid w:val="00BB5B20"/>
    <w:rsid w:val="00BB6ACC"/>
    <w:rsid w:val="00BC2BC3"/>
    <w:rsid w:val="00BC36E4"/>
    <w:rsid w:val="00BC7FD3"/>
    <w:rsid w:val="00BD0346"/>
    <w:rsid w:val="00BD0B2E"/>
    <w:rsid w:val="00BD267C"/>
    <w:rsid w:val="00BD6065"/>
    <w:rsid w:val="00BF2395"/>
    <w:rsid w:val="00C11EC5"/>
    <w:rsid w:val="00C138AE"/>
    <w:rsid w:val="00C13F73"/>
    <w:rsid w:val="00C172A9"/>
    <w:rsid w:val="00C22BF5"/>
    <w:rsid w:val="00C3153A"/>
    <w:rsid w:val="00C352D8"/>
    <w:rsid w:val="00C4090C"/>
    <w:rsid w:val="00C5399F"/>
    <w:rsid w:val="00C60F9D"/>
    <w:rsid w:val="00C62AD8"/>
    <w:rsid w:val="00C70904"/>
    <w:rsid w:val="00C736CD"/>
    <w:rsid w:val="00C738B0"/>
    <w:rsid w:val="00C73AAB"/>
    <w:rsid w:val="00C74C10"/>
    <w:rsid w:val="00C91751"/>
    <w:rsid w:val="00CA37D3"/>
    <w:rsid w:val="00CA4B7B"/>
    <w:rsid w:val="00CA720A"/>
    <w:rsid w:val="00CA7FE1"/>
    <w:rsid w:val="00CB172E"/>
    <w:rsid w:val="00CB1AF2"/>
    <w:rsid w:val="00CB2855"/>
    <w:rsid w:val="00CC0B11"/>
    <w:rsid w:val="00CC0DA1"/>
    <w:rsid w:val="00CC110B"/>
    <w:rsid w:val="00CC4FEF"/>
    <w:rsid w:val="00CD059E"/>
    <w:rsid w:val="00CE1829"/>
    <w:rsid w:val="00CE2354"/>
    <w:rsid w:val="00CE3EC0"/>
    <w:rsid w:val="00CF182A"/>
    <w:rsid w:val="00CF1E24"/>
    <w:rsid w:val="00D04E43"/>
    <w:rsid w:val="00D16598"/>
    <w:rsid w:val="00D20BBA"/>
    <w:rsid w:val="00D41F65"/>
    <w:rsid w:val="00D43A58"/>
    <w:rsid w:val="00D4463E"/>
    <w:rsid w:val="00D566B6"/>
    <w:rsid w:val="00D56AC4"/>
    <w:rsid w:val="00D751DB"/>
    <w:rsid w:val="00D836FE"/>
    <w:rsid w:val="00D90805"/>
    <w:rsid w:val="00D91054"/>
    <w:rsid w:val="00D9201B"/>
    <w:rsid w:val="00D934EB"/>
    <w:rsid w:val="00DA464E"/>
    <w:rsid w:val="00DB15F6"/>
    <w:rsid w:val="00DB5D53"/>
    <w:rsid w:val="00DB7BE2"/>
    <w:rsid w:val="00DC39ED"/>
    <w:rsid w:val="00DD1A01"/>
    <w:rsid w:val="00DD236B"/>
    <w:rsid w:val="00DD695D"/>
    <w:rsid w:val="00DE14C2"/>
    <w:rsid w:val="00DE6786"/>
    <w:rsid w:val="00DF4E26"/>
    <w:rsid w:val="00DF5BA5"/>
    <w:rsid w:val="00DF6F30"/>
    <w:rsid w:val="00E00970"/>
    <w:rsid w:val="00E01C05"/>
    <w:rsid w:val="00E02597"/>
    <w:rsid w:val="00E03D30"/>
    <w:rsid w:val="00E04383"/>
    <w:rsid w:val="00E07EDE"/>
    <w:rsid w:val="00E14696"/>
    <w:rsid w:val="00E17341"/>
    <w:rsid w:val="00E20FA0"/>
    <w:rsid w:val="00E2368D"/>
    <w:rsid w:val="00E2786D"/>
    <w:rsid w:val="00E302E7"/>
    <w:rsid w:val="00E305F4"/>
    <w:rsid w:val="00E34D98"/>
    <w:rsid w:val="00E357A6"/>
    <w:rsid w:val="00E42B90"/>
    <w:rsid w:val="00E44C69"/>
    <w:rsid w:val="00E609F4"/>
    <w:rsid w:val="00E6370C"/>
    <w:rsid w:val="00E64F18"/>
    <w:rsid w:val="00E77D98"/>
    <w:rsid w:val="00E87EE6"/>
    <w:rsid w:val="00E92EF7"/>
    <w:rsid w:val="00EA6923"/>
    <w:rsid w:val="00EB0F41"/>
    <w:rsid w:val="00EB4A55"/>
    <w:rsid w:val="00EB5C17"/>
    <w:rsid w:val="00EC5E19"/>
    <w:rsid w:val="00ED0813"/>
    <w:rsid w:val="00ED5432"/>
    <w:rsid w:val="00ED5AE6"/>
    <w:rsid w:val="00EF19BA"/>
    <w:rsid w:val="00EF33E7"/>
    <w:rsid w:val="00EF3BA2"/>
    <w:rsid w:val="00EF401D"/>
    <w:rsid w:val="00EF5E66"/>
    <w:rsid w:val="00EF6DFA"/>
    <w:rsid w:val="00F02792"/>
    <w:rsid w:val="00F0774A"/>
    <w:rsid w:val="00F1135B"/>
    <w:rsid w:val="00F21256"/>
    <w:rsid w:val="00F21CD5"/>
    <w:rsid w:val="00F21EAC"/>
    <w:rsid w:val="00F310C1"/>
    <w:rsid w:val="00F34A89"/>
    <w:rsid w:val="00F35790"/>
    <w:rsid w:val="00F406CE"/>
    <w:rsid w:val="00F43F46"/>
    <w:rsid w:val="00F636B6"/>
    <w:rsid w:val="00F7488E"/>
    <w:rsid w:val="00F767C9"/>
    <w:rsid w:val="00F82941"/>
    <w:rsid w:val="00F830CE"/>
    <w:rsid w:val="00F85887"/>
    <w:rsid w:val="00F90D08"/>
    <w:rsid w:val="00F92C54"/>
    <w:rsid w:val="00FB511A"/>
    <w:rsid w:val="00FB57C0"/>
    <w:rsid w:val="00FB6538"/>
    <w:rsid w:val="00FB74C7"/>
    <w:rsid w:val="00FC0BBD"/>
    <w:rsid w:val="00FC0CBB"/>
    <w:rsid w:val="00FC37CF"/>
    <w:rsid w:val="00FD29A3"/>
    <w:rsid w:val="00FE08F0"/>
    <w:rsid w:val="00FE0F99"/>
    <w:rsid w:val="00FE29E8"/>
    <w:rsid w:val="00FE6E6D"/>
    <w:rsid w:val="00FF1F96"/>
    <w:rsid w:val="00FF3C86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17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B17F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17FEF"/>
  </w:style>
  <w:style w:type="paragraph" w:styleId="Rodap">
    <w:name w:val="footer"/>
    <w:basedOn w:val="Normal"/>
    <w:link w:val="RodapCarcter"/>
    <w:uiPriority w:val="99"/>
    <w:unhideWhenUsed/>
    <w:rsid w:val="00B17F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17FEF"/>
  </w:style>
  <w:style w:type="paragraph" w:styleId="Textodebalo">
    <w:name w:val="Balloon Text"/>
    <w:basedOn w:val="Normal"/>
    <w:link w:val="TextodebaloCarcter"/>
    <w:uiPriority w:val="99"/>
    <w:semiHidden/>
    <w:unhideWhenUsed/>
    <w:rsid w:val="00B1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7FEF"/>
    <w:rPr>
      <w:rFonts w:ascii="Tahoma" w:hAnsi="Tahoma" w:cs="Tahoma"/>
      <w:sz w:val="16"/>
      <w:szCs w:val="16"/>
    </w:rPr>
  </w:style>
  <w:style w:type="table" w:styleId="GrelhaMdia1-Cor1">
    <w:name w:val="Medium Grid 1 Accent 1"/>
    <w:basedOn w:val="Tabelanormal"/>
    <w:uiPriority w:val="67"/>
    <w:rsid w:val="00B17FE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PargrafodaLista">
    <w:name w:val="List Paragraph"/>
    <w:basedOn w:val="Normal"/>
    <w:uiPriority w:val="34"/>
    <w:qFormat/>
    <w:rsid w:val="00EA6923"/>
    <w:pPr>
      <w:ind w:left="720"/>
      <w:contextualSpacing/>
    </w:pPr>
  </w:style>
  <w:style w:type="paragraph" w:styleId="SemEspaamento">
    <w:name w:val="No Spacing"/>
    <w:link w:val="SemEspaamentoCarcter"/>
    <w:uiPriority w:val="1"/>
    <w:qFormat/>
    <w:rsid w:val="002E4721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2E4721"/>
    <w:rPr>
      <w:rFonts w:eastAsiaTheme="minorEastAsia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17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B17F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17FEF"/>
  </w:style>
  <w:style w:type="paragraph" w:styleId="Rodap">
    <w:name w:val="footer"/>
    <w:basedOn w:val="Normal"/>
    <w:link w:val="RodapCarcter"/>
    <w:uiPriority w:val="99"/>
    <w:unhideWhenUsed/>
    <w:rsid w:val="00B17F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17FEF"/>
  </w:style>
  <w:style w:type="paragraph" w:styleId="Textodebalo">
    <w:name w:val="Balloon Text"/>
    <w:basedOn w:val="Normal"/>
    <w:link w:val="TextodebaloCarcter"/>
    <w:uiPriority w:val="99"/>
    <w:semiHidden/>
    <w:unhideWhenUsed/>
    <w:rsid w:val="00B1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7FEF"/>
    <w:rPr>
      <w:rFonts w:ascii="Tahoma" w:hAnsi="Tahoma" w:cs="Tahoma"/>
      <w:sz w:val="16"/>
      <w:szCs w:val="16"/>
    </w:rPr>
  </w:style>
  <w:style w:type="table" w:styleId="GrelhaMdia1-Cor1">
    <w:name w:val="Medium Grid 1 Accent 1"/>
    <w:basedOn w:val="Tabelanormal"/>
    <w:uiPriority w:val="67"/>
    <w:rsid w:val="00B17FE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PargrafodaLista">
    <w:name w:val="List Paragraph"/>
    <w:basedOn w:val="Normal"/>
    <w:uiPriority w:val="34"/>
    <w:qFormat/>
    <w:rsid w:val="00EA6923"/>
    <w:pPr>
      <w:ind w:left="720"/>
      <w:contextualSpacing/>
    </w:pPr>
  </w:style>
  <w:style w:type="paragraph" w:styleId="SemEspaamento">
    <w:name w:val="No Spacing"/>
    <w:link w:val="SemEspaamentoCarcter"/>
    <w:uiPriority w:val="1"/>
    <w:qFormat/>
    <w:rsid w:val="002E4721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2E4721"/>
    <w:rPr>
      <w:rFonts w:eastAsiaTheme="minorEastAsia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Tipo_Interno" source-type="AdditionalFields">
        <TAG><![CDATA[#NOVOREGISTO:CA:Tipo_Interno#]]></TAG>
        <VALUE><![CDATA[#NOVOREGISTO:CA:Tipo_Interno#]]></VALUE>
        <XPATH><![CDATA[/CARD/FIELDS/FIELD[FIELD='Tipo_Interno']/VALUE]]></XPATH>
      </FIELD>
      <FIELD type="AdditionalFields" label="Número_Interno" source-type="AdditionalFields">
        <TAG><![CDATA[#NOVOREGISTO:CA:Número_Interno#]]></TAG>
        <VALUE><![CDATA[#NOVOREGISTO:CA:Número_Interno#]]></VALUE>
        <XPATH><![CDATA[/CARD/FIELDS/FIELD[FIELD='Número_Interno']/VALUE]]></XPATH>
      </FIELD>
      <FIELD type="AdditionalFields" label="Resolvido" source-type="AdditionalFields">
        <TAG><![CDATA[#NOVOREGISTO:CA:Resolvido#]]></TAG>
        <VALUE><![CDATA[#NOVOREGISTO:CA:Resolvido#]]></VALUE>
        <XPATH><![CDATA[/CARD/FIELDS/FIELD[FIELD='Resolvido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Lista" source-type="AdditionalFields">
        <TAG><![CDATA[#NOVOREGISTO:CA:Lista#]]></TAG>
        <VALUE><![CDATA[#NOVOREGISTO:CA:Lista#]]></VALUE>
        <XPATH><![CDATA[/CARD/FIELDS/FIELD[FIELD='Lista']/VALUE]]></XPATH>
      </FIELD>
      <FIELD type="AdditionalFields" label="Tipo_Formulário" source-type="AdditionalFields">
        <TAG><![CDATA[#NOVOREGISTO:CA:Tipo_Formulário#]]></TAG>
        <VALUE><![CDATA[#NOVOREGISTO:CA:Tipo_Formulário#]]></VALUE>
        <XPATH><![CDATA[/CARD/FIELDS/FIELD[FIELD='Tipo_Formulári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FIELD='Localizacao']/VALUE]]></XPATH>
      </FIELD>
      <FIELD type="AdditionalFields" label="Data_Estado" source-type="AdditionalFields">
        <TAG><![CDATA[#NOVOREGISTO:CA:Data_Estado#]]></TAG>
        <VALUE><![CDATA[#NOVOREGISTO:CA:Data_Estado#]]></VALUE>
        <XPATH><![CDATA[/CARD/FIELDS/FIELD[FIELD='Data_Estado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Tipo_Interno" source-type="AdditionalFields">
        <TAG><![CDATA[#PRIMEIROREGISTO:CA:Tipo_Interno#]]></TAG>
        <VALUE><![CDATA[#PRIMEIROREGISTO:CA:Tipo_Interno#]]></VALUE>
        <XPATH><![CDATA[/CARD/FIELDS/FIELD[NAME='Tipo_Interno']/VALUE]]></XPATH>
      </FIELD>
      <FIELD type="AdditionalFields" label="Número_Interno" source-type="AdditionalFields">
        <TAG><![CDATA[#PRIMEIROREGISTO:CA:Número_Interno#]]></TAG>
        <VALUE><![CDATA[#PRIMEIROREGISTO:CA:Número_Interno#]]></VALUE>
        <XPATH><![CDATA[/CARD/FIELDS/FIELD[NAME='Número_Interno']/VALUE]]></XPATH>
      </FIELD>
      <FIELD type="AdditionalFields" label="Resolvido" source-type="AdditionalFields">
        <TAG><![CDATA[#PRIMEIROREGISTO:CA:Resolvido#]]></TAG>
        <VALUE><![CDATA[#PRIMEIROREGISTO:CA:Resolvido#]]></VALUE>
        <XPATH><![CDATA[/CARD/FIELDS/FIELD[NAME='Resolvido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Lista" source-type="AdditionalFields">
        <TAG><![CDATA[#PRIMEIROREGISTO:CA:Lista#]]></TAG>
        <VALUE><![CDATA[#PRIMEIROREGISTO:CA:Lista#]]></VALUE>
        <XPATH><![CDATA[/CARD/FIELDS/FIELD[NAME='Lista']/VALUE]]></XPATH>
      </FIELD>
      <FIELD type="AdditionalFields" label="Tipo_Formulário" source-type="AdditionalFields">
        <TAG><![CDATA[#PRIMEIROREGISTO:CA:Tipo_Formulário#]]></TAG>
        <VALUE><![CDATA[#PRIMEIROREGISTO:CA:Tipo_Formulário#]]></VALUE>
        <XPATH><![CDATA[/CARD/FIELDS/FIELD[NAME='Tipo_Formulári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Data_Estado" source-type="AdditionalFields">
        <TAG><![CDATA[#PRIMEIROREGISTO:CA:Data_Estado#]]></TAG>
        <VALUE><![CDATA[#PRIMEIROREGISTO:CA:Data_Estado#]]></VALUE>
        <XPATH><![CDATA[/CARD/FIELDS/FIELD[NAME='Data_Estado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Tipo_Interno" source-type="AdditionalFields">
        <TAG><![CDATA[#PRIMEIROPROCESSO:CA:Tipo_Interno#]]></TAG>
        <VALUE><![CDATA[#PRIMEIROPROCESSO:CA:Tipo_Interno#]]></VALUE>
        <XPATH><![CDATA[/CARD/FIELDS/FIELD[NAME='Tipo_Interno']/VALUE]]></XPATH>
      </FIELD>
      <FIELD type="AdditionalFields" label="Número_Interno" source-type="AdditionalFields">
        <TAG><![CDATA[#PRIMEIROPROCESSO:CA:Número_Interno#]]></TAG>
        <VALUE><![CDATA[#PRIMEIROPROCESSO:CA:Número_Interno#]]></VALUE>
        <XPATH><![CDATA[/CARD/FIELDS/FIELD[NAME='Número_Interno']/VALUE]]></XPATH>
      </FIELD>
      <FIELD type="AdditionalFields" label="Resolvido" source-type="AdditionalFields">
        <TAG><![CDATA[#PRIMEIROPROCESSO:CA:Resolvido#]]></TAG>
        <VALUE><![CDATA[#PRIMEIROPROCESSO:CA:Resolvido#]]></VALUE>
        <XPATH><![CDATA[/CARD/FIELDS/FIELD[NAME='Resolvido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Lista" source-type="AdditionalFields">
        <TAG><![CDATA[#PRIMEIROPROCESSO:CA:Lista#]]></TAG>
        <VALUE><![CDATA[#PRIMEIROPROCESSO:CA:Lista#]]></VALUE>
        <XPATH><![CDATA[/CARD/FIELDS/FIELD[NAME='Lista']/VALUE]]></XPATH>
      </FIELD>
      <FIELD type="AdditionalFields" label="Tipo_Formulário" source-type="AdditionalFields">
        <TAG><![CDATA[#PRIMEIROPROCESSO:CA:Tipo_Formulário#]]></TAG>
        <VALUE><![CDATA[#PRIMEIROPROCESSO:CA:Tipo_Formulário#]]></VALUE>
        <XPATH><![CDATA[/CARD/FIELDS/FIELD[NAME='Tipo_Formulári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Data_Estado" source-type="AdditionalFields">
        <TAG><![CDATA[#PRIMEIROPROCESSO:CA:Data_Estado#]]></TAG>
        <VALUE><![CDATA[#PRIMEIROPROCESSO:CA:Data_Estado#]]></VALUE>
        <XPATH><![CDATA[/CARD/FIELDS/FIELD[NAME='Data_Estado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Tipo_Interno" source-type="AdditionalFields">
        <TAG><![CDATA[#REGISTO:CA:Tipo_Interno#]]></TAG>
        <VALUE><![CDATA[#REGISTO:CA:Tipo_Interno#]]></VALUE>
        <XPATH><![CDATA[/CARD/FIELDS/FIELD[NAME='Tipo_Interno']/VALUE]]></XPATH>
      </FIELD>
      <FIELD type="AdditionalFields" label="Número_Interno" source-type="AdditionalFields">
        <TAG><![CDATA[#REGISTO:CA:Número_Interno#]]></TAG>
        <VALUE><![CDATA[#REGISTO:CA:Número_Interno#]]></VALUE>
        <XPATH><![CDATA[/CARD/FIELDS/FIELD[NAME='Número_Interno']/VALUE]]></XPATH>
      </FIELD>
      <FIELD type="AdditionalFields" label="Resolvido" source-type="AdditionalFields">
        <TAG><![CDATA[#REGISTO:CA:Resolvido#]]></TAG>
        <VALUE><![CDATA[#REGISTO:CA:Resolvido#]]></VALUE>
        <XPATH><![CDATA[/CARD/FIELDS/FIELD[NAME='Resolvido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Lista" source-type="AdditionalFields">
        <TAG><![CDATA[#REGISTO:CA:Lista#]]></TAG>
        <VALUE><![CDATA[#REGISTO:CA:Lista#]]></VALUE>
        <XPATH><![CDATA[/CARD/FIELDS/FIELD[NAME='Lista']/VALUE]]></XPATH>
      </FIELD>
      <FIELD type="AdditionalFields" label="Tipo_Formulário" source-type="AdditionalFields">
        <TAG><![CDATA[#REGISTO:CA:Tipo_Formulário#]]></TAG>
        <VALUE><![CDATA[#REGISTO:CA:Tipo_Formulário#]]></VALUE>
        <XPATH><![CDATA[/CARD/FIELDS/FIELD[NAME='Tipo_Formulári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Data_Estado" source-type="AdditionalFields">
        <TAG><![CDATA[#REGISTO:CA:Data_Estado#]]></TAG>
        <VALUE><![CDATA[#REGISTO:CA:Data_Estado#]]></VALUE>
        <XPATH><![CDATA[/CARD/FIELDS/FIELD[NAME='Data_Estado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Tipo_Interno" source-type="AdditionalFields">
        <TAG><![CDATA[#CONTEXTPROCESS:CA:Tipo_Interno#]]></TAG>
        <VALUE><![CDATA[Tipo_Interno]]></VALUE>
        <XPATH><![CDATA[/PROCESS/FIELDS/FIELD[NAME='Tipo_Interno']/VALUE]]></XPATH>
      </FIELD>
      <FIELD type="AdditionalFields" label="Número_Interno" source-type="AdditionalFields">
        <TAG><![CDATA[#CONTEXTPROCESS:CA:Número_Interno#]]></TAG>
        <VALUE><![CDATA[Número_Interno]]></VALUE>
        <XPATH><![CDATA[/PROCESS/FIELDS/FIELD[NAME='Número_Interno']/VALUE]]></XPATH>
      </FIELD>
      <FIELD type="AdditionalFields" label="Resolvido" source-type="AdditionalFields">
        <TAG><![CDATA[#CONTEXTPROCESS:CA:Resolvido#]]></TAG>
        <VALUE><![CDATA[Resolvido]]></VALUE>
        <XPATH><![CDATA[/PROCESS/FIELDS/FIELD[NAME='Resolvido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Lista" source-type="AdditionalFields">
        <TAG><![CDATA[#CONTEXTPROCESS:CA:Lista#]]></TAG>
        <VALUE><![CDATA[Lista]]></VALUE>
        <XPATH><![CDATA[/PROCESS/FIELDS/FIELD[NAME='Lista']/VALUE]]></XPATH>
      </FIELD>
      <FIELD type="AdditionalFields" label="Tipo_Formulário" source-type="AdditionalFields">
        <TAG><![CDATA[#CONTEXTPROCESS:CA:Tipo_Formulário#]]></TAG>
        <VALUE><![CDATA[Tipo_Formulário]]></VALUE>
        <XPATH><![CDATA[/PROCESS/FIELDS/FIELD[NAME='Tipo_Formulári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Data_Estado" source-type="AdditionalFields">
        <TAG><![CDATA[#CONTEXTPROCESS:CA:Data_Estado#]]></TAG>
        <VALUE><![CDATA[Data_Estado]]></VALUE>
        <XPATH><![CDATA[/PROCESS/FIELDS/FIELD[NAME='Data_Estado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436D4039AAA2479F002170FD21F39D" ma:contentTypeVersion="1" ma:contentTypeDescription="Criar um novo documento." ma:contentTypeScope="" ma:versionID="ddc23b9d0ce20231c2d2d72dc4b404d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BCAE51-2B9C-49F5-81A1-EA2868C1E39D}"/>
</file>

<file path=customXml/itemProps2.xml><?xml version="1.0" encoding="utf-8"?>
<ds:datastoreItem xmlns:ds="http://schemas.openxmlformats.org/officeDocument/2006/customXml" ds:itemID="{FD719819-C0FB-40E8-A779-80CD2D91C73B}"/>
</file>

<file path=customXml/itemProps3.xml><?xml version="1.0" encoding="utf-8"?>
<ds:datastoreItem xmlns:ds="http://schemas.openxmlformats.org/officeDocument/2006/customXml" ds:itemID="{52C4F35D-9155-4ACA-A67D-A23DE65A1D6E}"/>
</file>

<file path=customXml/itemProps4.xml><?xml version="1.0" encoding="utf-8"?>
<ds:datastoreItem xmlns:ds="http://schemas.openxmlformats.org/officeDocument/2006/customXml" ds:itemID="{C5643A33-A3A0-406A-A062-CDF193BF2AC6}"/>
</file>

<file path=customXml/itemProps5.xml><?xml version="1.0" encoding="utf-8"?>
<ds:datastoreItem xmlns:ds="http://schemas.openxmlformats.org/officeDocument/2006/customXml" ds:itemID="{E6CE401F-B0BD-4C5A-9630-96CEAE633A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523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Guida FSA. Dias</dc:creator>
  <cp:lastModifiedBy>Guida FSA. Dias</cp:lastModifiedBy>
  <cp:revision>7</cp:revision>
  <dcterms:created xsi:type="dcterms:W3CDTF">2014-10-28T12:57:00Z</dcterms:created>
  <dcterms:modified xsi:type="dcterms:W3CDTF">2017-06-20T10:45:00Z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0x01010051436D4039AAA2479F002170FD21F39D</vt:lpwstr>
  </property>
</Properties>
</file>